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C5323B">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方正小标宋_GBK" w:cs="Times New Roman"/>
          <w:b w:val="0"/>
          <w:bCs w:val="0"/>
          <w:kern w:val="2"/>
          <w:sz w:val="44"/>
          <w:szCs w:val="44"/>
          <w:lang w:val="en-US" w:eastAsia="zh-CN" w:bidi="ar-SA"/>
        </w:rPr>
      </w:pPr>
      <w:r>
        <w:rPr>
          <w:rFonts w:hint="eastAsia" w:ascii="Times New Roman" w:hAnsi="Times New Roman" w:eastAsia="方正小标宋_GBK" w:cs="Times New Roman"/>
          <w:b w:val="0"/>
          <w:bCs w:val="0"/>
          <w:kern w:val="2"/>
          <w:sz w:val="44"/>
          <w:szCs w:val="44"/>
          <w:lang w:val="en-US" w:eastAsia="zh-CN" w:bidi="ar-SA"/>
        </w:rPr>
        <w:t>《中华人民共和国国民经济和社会发展第十五个五年规划纲要》</w:t>
      </w:r>
    </w:p>
    <w:p w14:paraId="14505974">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方正小标宋_GBK" w:cs="Times New Roman"/>
          <w:b w:val="0"/>
          <w:bCs w:val="0"/>
          <w:kern w:val="2"/>
          <w:sz w:val="44"/>
          <w:szCs w:val="44"/>
          <w:lang w:val="en-US" w:eastAsia="zh-CN" w:bidi="ar-SA"/>
        </w:rPr>
      </w:pPr>
      <w:r>
        <w:rPr>
          <w:rFonts w:hint="eastAsia" w:ascii="Times New Roman" w:hAnsi="Times New Roman" w:eastAsia="方正小标宋_GBK" w:cs="Times New Roman"/>
          <w:b w:val="0"/>
          <w:bCs w:val="0"/>
          <w:kern w:val="2"/>
          <w:sz w:val="44"/>
          <w:szCs w:val="44"/>
          <w:lang w:val="en-US" w:eastAsia="zh-CN" w:bidi="ar-SA"/>
        </w:rPr>
        <w:t>——第十四篇　推进国家安全体系和能力现代化 建设更高水平平安中国</w:t>
      </w:r>
    </w:p>
    <w:p w14:paraId="1FF346D1">
      <w:pPr>
        <w:rPr>
          <w:rFonts w:hint="default" w:ascii="Times New Roman" w:hAnsi="Times New Roman" w:eastAsia="方正仿宋_GBK" w:cs="Times New Roman"/>
          <w:sz w:val="32"/>
          <w:szCs w:val="32"/>
          <w:lang w:val="en-US" w:eastAsia="zh-CN"/>
        </w:rPr>
      </w:pPr>
    </w:p>
    <w:p w14:paraId="37C6052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坚定不移贯彻总体国家安全观，加快构建新安全格局，增强维护和塑造国家安全战略主动，走中国特色社会主义社会治理之路，确保社会生机勃勃又井然有序。</w:t>
      </w:r>
    </w:p>
    <w:p w14:paraId="46D60A1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第五十一章　加强国家安全体系和能力建设</w:t>
      </w:r>
    </w:p>
    <w:p w14:paraId="6875A82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坚持以战略为先导、政策为抓手、法治为保障、风险防控为落脚点，巩固集中统一、高效权威的国家安全领导体制，制定实施国家安全战略，完善国家安全法治体系、战略体系、政策体系、风险防控体系。强化国家安全重点领域和重要专项协调机制，提高应急应变效能。落实国家安全责任制，促进全链条全要素协同联动，形成体系合力。加强重点领域国家安全能力建设，锻造实战实用的国家安全能力，突出保障事关国家长治久安、经济健康稳定、人民安居乐业的重大安全，把捍卫政治安全摆在首位，坚定维护政权安全、制度安全、意识形态安全，严厉打击敌对势力渗透、破坏、颠覆、分裂活动。夯实国家安全基础保障，强化科技赋能，加强新兴领域国家安全能力建设。维护重点领域国家秘密安全。完善涉外国家安全机制，构建海外安全保障体系，加强反制裁、反干预、反</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长臂管辖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斗争，深化国际执法安全合作。强化国家安全教育，筑牢人民防线。</w:t>
      </w:r>
    </w:p>
    <w:p w14:paraId="177E74E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第五十二章　保障国家经济安全</w:t>
      </w:r>
    </w:p>
    <w:p w14:paraId="3A6E11D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聚焦重点品种加强战略物资保障，聚焦系统重要性领域防范化解重大风险，聚焦新产业新业态新应用场景提升薄弱环节风险防控能力，以精准补齐短板带动安全保障能力全面提升。</w:t>
      </w:r>
    </w:p>
    <w:p w14:paraId="65FCE13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第一节　增强粮食安全保障能力</w:t>
      </w:r>
    </w:p>
    <w:p w14:paraId="7BC6961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坚持以我为主、立足国内、确保产能、适度进口、科技支撑，提升粮食产购储加销协同保障能力，确保谷物基本自给、口粮绝对安全。严格落实耕地保护和粮食安全党政同责要求，严守耕地红线。加强粮食购销和储备管理，保持政府储备粮规模相对稳定，强化储备调节功能，健全粮食监管新模式。深入实施优质粮食工程，推进粮食流通提质增效。推进粮食产后全链条节约减损，实施全谷物行动计划。完善化肥储备制度，加强钾肥、磷肥等保供稳价。建立稳定可控的海外供应渠道，推进农产品进口多元化，适度进口紧缺优质品种，促进贸易和生产相协调。</w:t>
      </w:r>
    </w:p>
    <w:p w14:paraId="2DC0D71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第二节　强化能源资源供应保障</w:t>
      </w:r>
    </w:p>
    <w:p w14:paraId="6C240FC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坚持立足国内、补齐短板、多元保障、强化储备，加强能源产供储销体系建设。坚持油气核心需求自主保障，实施中长期油气增储上产战略行动，确保原油年产量稳定在2亿吨左右、天然气产量稳步增长，加强煤制油气产能和技术储备。强化政府储备和企业储备协同，提升国家石油储备规模，建立更加灵活的轮换动用机制，增强天然气储备调节保障能力，完善煤炭储备体系。健全能源保供中长期合同制度，完善电力应急调度机制和备用电源配置，强化能源需求侧管理。加强战略性矿产资源勘探开发和储备，深入实施新一轮找矿突破战略行动，统筹加强产品、产能和产地储备，推动大宗商品储运基地建设，提升战略性矿产资源安全风险监测预警和应急保供水平。加强能源资源开发国际合作，维护战略通道安全。</w:t>
      </w:r>
    </w:p>
    <w:p w14:paraId="1F6D68C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第三节　健全防范化解重点领域风险长效机制</w:t>
      </w:r>
    </w:p>
    <w:p w14:paraId="2B931E4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强化源头防控、预判预警、早期纠正，统筹推进房地产、地方政府债务、中小金融机构等风险有序化解，严防系统性风险。完善系统重要性金融机构监管，加强金融市场、跨境资本流动等重点领域宏观审慎管理。建立健全全口径地方债务监测监管体系和防范化解隐性债务风险长效机制，严肃财经纪律，坚决遏制新增地方政府隐性债务，优化中央和地方政府债务结构，加快推动地方政府融资平台改革转型。支持金融机构稳妥有序开展资本补充，完善中小金融机构风险处置机制，丰富风险处置资源和手段，充实金融稳定保障基金、存款保险基金和其他行业保障基金。强化央地金融监管协同，健全金融消费者权益保护机制，严厉打击非法金融活动。强化开放条件下金融安全保障，完善跨境资金流动监测预警响应机制。</w:t>
      </w:r>
    </w:p>
    <w:p w14:paraId="14860D5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第四节　提升网络安全保障能力</w:t>
      </w:r>
    </w:p>
    <w:p w14:paraId="6E1124A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深化网络空间安全综合治理，加快国家网络安全防御体系建设。健全关键信息基础设施安全防护、网络安全审查、云计算服务安全评估等基础制度，完善互联网内容管理、网络平台治理等法规。严厉打击网络违法犯罪行为，加强个人信息保护。持续开展</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清朗</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系列专项行动，治理网络谣言、网络暴力等乱象，营造风清气正的网络环境。支持网络安全技术创新和产业发展，鼓励发展安全可靠的信息产品和服务。推进容灾备份体系建设，加强工业控制系统和新技术新应用的网络安全防护。深度参与网络空间全球治理和国际规则制定，积极拓展国际网络安全合作。</w:t>
      </w:r>
    </w:p>
    <w:p w14:paraId="0D6EB96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第五十三章　提高公共安全治理水平</w:t>
      </w:r>
    </w:p>
    <w:p w14:paraId="4C8289A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完善公共安全体系，推动公共安全治理模式向事前预防转型，切实维护人民群众生命财产安全。</w:t>
      </w:r>
    </w:p>
    <w:p w14:paraId="4F027BA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第一节　强化食品药品安全监管</w:t>
      </w:r>
    </w:p>
    <w:p w14:paraId="7C4CB73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健全食品药品全链条全过程监管机制，完善食品药品安全责任体系。加强从农田到餐桌的食品安全监管，强化风险源头管控，提高协同监管和智慧监管水平，深化重点问题农产品药残治理。完善严格高效的药品监管，深入实施药品标准提高行动计划，强化高风险产品抽检抽查。提高仿制药质量和疗效一致性评价质效，加强上市后临床使用数据监测。落实行业监管、属地管理、企业主体的食品药品安全责任，加大违法犯罪行为惩治力度。严格生物技术研发应用监管，提升生物数据资源存储和安全管理能力。</w:t>
      </w:r>
    </w:p>
    <w:p w14:paraId="51B5791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第二节　提高安全生产水平</w:t>
      </w:r>
    </w:p>
    <w:p w14:paraId="6D665B8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严格落实安全生产党政同责、</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三管三必须</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要求，有效防范遏制重特大事故。提升重要基础设施本质安全水平，加快矿山、危险化学品、特种设备等领域高风险工艺和装备淘汰更新，加强生产经营单位主要负责人和特殊工种安全培训。完善安全生产风险排查整治和责任倒查机制，督促企业完善安全生产管理体系，提高安全生产风险防范和事故灾害应急处置水平。提升安全生产执法质效，建立各行业执法检查重点事项清单，扎实开展中央安全生产考核巡查。</w:t>
      </w:r>
    </w:p>
    <w:p w14:paraId="58891EF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第三节　完善应急管理体系</w:t>
      </w:r>
    </w:p>
    <w:p w14:paraId="5BD4154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坚持人民至上、生命至上，一体提升减灾预防、抗灾设防、救灾保障能力，有效降低各类灾害事故损失。加强灾害监测预报预警，提升全天候实时监测预警能力。合理提高重要城市和灾害多发地区关键基础设施设防标准，推进城市平急两用公共基础设施建设。深化应急管理改革，完善大安全大应急框架下应急指挥机制。提高防灾减灾救灾和重大突发公共事件处置保障能力，建强国家综合性消防救援队伍，优化专业救援队伍结构布局，提高极端条件下救援能力。实施基层应急能力提升行动，提高基层应消一体综合救援和全社会防灾避险能力。加强应急预案体系建设和管理，完善多元化应急物资储备和快速调拨投送机制。健全巨灾风险保障体系和风险分担机制。</w:t>
      </w:r>
    </w:p>
    <w:p w14:paraId="3D4DB42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第五十四章　完善社会治理体系</w:t>
      </w:r>
    </w:p>
    <w:p w14:paraId="636CE7A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坚持系统治理、依法治理、综合治理、源头治理，完善共建共治共享的社会治理制度，健</w:t>
      </w:r>
      <w:bookmarkStart w:id="0" w:name="_GoBack"/>
      <w:bookmarkEnd w:id="0"/>
      <w:r>
        <w:rPr>
          <w:rFonts w:hint="default" w:ascii="Times New Roman" w:hAnsi="Times New Roman" w:eastAsia="方正仿宋_GBK" w:cs="Times New Roman"/>
          <w:sz w:val="32"/>
          <w:szCs w:val="32"/>
          <w:lang w:val="en-US" w:eastAsia="zh-CN"/>
        </w:rPr>
        <w:t>全社会工作体制机制和社会治理政策法律法规体系，推进社会治理现代化。</w:t>
      </w:r>
    </w:p>
    <w:p w14:paraId="3E90350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第一节　夯实基层社会治理根基</w:t>
      </w:r>
    </w:p>
    <w:p w14:paraId="73B08D2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坚持和发展新时代</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枫桥经验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，健全党组织领导的自治、法治、德治相结合的城乡基层治理体系。加强党建引领基层治理和基层政权建设，全面实施乡镇（街道）履行职责事项清单，健全村（社区）工作事项准入制度，落实</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四下基层</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，完善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街乡吹哨、部门报到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等做法。推动社会治理和服务重心向基层下移，加强基层服务管理力量配置，完善服务设施和经费保障机制，健全城乡社区治理体系，完善网格化管理、精细化服务、信息化支撑的基层治理平台。健全凝聚服务群众工作机制，夯实社会治理群众基础。发挥人民群众主体作用，引导各方有序参与社会治理。加强社会工作者队伍建设，提高专业化服务水平。推进网上网下协同治理。强化市民热线等公共服务平台功能，推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民有所呼、我有所应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5CEEB0D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第二节　提升新兴领域治理效能</w:t>
      </w:r>
    </w:p>
    <w:p w14:paraId="14D8CAB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加强新经济组织、新社会组织、新就业群体党的建设，进一步扩大党的组织覆盖和工作覆盖，加强和改进对各类社会群体的政治引领和服务管理。提升非公有制企业党建工作质量，加强对混合所有制企业党建工作的分类指导，突出抓好商圈楼宇和园区党建工作。加强社会组织培育管理，推动行业协会商会改革发展。加强志愿服务组织管理，完善激励褒奖机制，发展志愿服务。加强新就业群体服务管理和关心关爱。</w:t>
      </w:r>
    </w:p>
    <w:p w14:paraId="64AF833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第三节　有效维护社会安全稳定</w:t>
      </w:r>
    </w:p>
    <w:p w14:paraId="72E6142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完善正确处理新形势下人民内部矛盾机制，畅通和规范群众诉求表达、利益协调、权益保障通道，深入推动矛盾纠纷源头化解、多元化解、有序化解。推进信访工作法治化，持续开展领导干部接访下访，深化信访突出矛盾化解。健全社会心理服务体系和危机干预机制。深化社会治安整体防控体系和能力建设，落实维护社会稳定责任，发展壮大群防群治力量，健全扫黑除恶常态化机制，加大预防和打击电信网络诈骗、毒品犯罪等力度。推进综治中心规范化建设。全面准确贯彻宽严相济刑事政策，依法惩处违法犯罪，提升刑罚执行质效。推进政法工作数字化平台建设。</w:t>
      </w:r>
    </w:p>
    <w:p w14:paraId="2DD7263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p>
    <w:p w14:paraId="47428D2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ascii="宋体" w:hAnsi="宋体" w:eastAsia="宋体" w:cs="宋体"/>
          <w:sz w:val="24"/>
          <w:szCs w:val="24"/>
        </w:rPr>
        <w:drawing>
          <wp:anchor distT="0" distB="0" distL="114300" distR="114300" simplePos="0" relativeHeight="251659264" behindDoc="0" locked="0" layoutInCell="1" allowOverlap="1">
            <wp:simplePos x="0" y="0"/>
            <wp:positionH relativeFrom="column">
              <wp:posOffset>27940</wp:posOffset>
            </wp:positionH>
            <wp:positionV relativeFrom="page">
              <wp:posOffset>1021715</wp:posOffset>
            </wp:positionV>
            <wp:extent cx="5610225" cy="6047105"/>
            <wp:effectExtent l="0" t="0" r="9525" b="10795"/>
            <wp:wrapTopAndBottom/>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6"/>
                    <pic:cNvPicPr>
                      <a:picLocks noChangeAspect="1"/>
                    </pic:cNvPicPr>
                  </pic:nvPicPr>
                  <pic:blipFill>
                    <a:blip r:embed="rId6"/>
                    <a:stretch>
                      <a:fillRect/>
                    </a:stretch>
                  </pic:blipFill>
                  <pic:spPr>
                    <a:xfrm>
                      <a:off x="0" y="0"/>
                      <a:ext cx="5610225" cy="6047105"/>
                    </a:xfrm>
                    <a:prstGeom prst="rect">
                      <a:avLst/>
                    </a:prstGeom>
                    <a:noFill/>
                    <a:ln w="9525">
                      <a:noFill/>
                    </a:ln>
                  </pic:spPr>
                </pic:pic>
              </a:graphicData>
            </a:graphic>
          </wp:anchor>
        </w:drawing>
      </w:r>
    </w:p>
    <w:p w14:paraId="43A65D29">
      <w:pPr>
        <w:keepNext w:val="0"/>
        <w:keepLines w:val="0"/>
        <w:pageBreakBefore w:val="0"/>
        <w:widowControl w:val="0"/>
        <w:kinsoku/>
        <w:wordWrap/>
        <w:overflowPunct/>
        <w:topLinePunct w:val="0"/>
        <w:autoSpaceDE/>
        <w:autoSpaceDN/>
        <w:bidi w:val="0"/>
        <w:adjustRightInd/>
        <w:snapToGrid/>
        <w:ind w:firstLine="640"/>
        <w:jc w:val="right"/>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来源：新华社</w:t>
      </w:r>
    </w:p>
    <w:p w14:paraId="261C2E8A">
      <w:pPr>
        <w:rPr>
          <w:rFonts w:hint="eastAsia"/>
          <w:lang w:val="en-US" w:eastAsia="zh-CN"/>
        </w:rPr>
      </w:pPr>
    </w:p>
    <w:sectPr>
      <w:footerReference r:id="rId3" w:type="default"/>
      <w:footerReference r:id="rId4" w:type="even"/>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F67A7875-17A1-4F94-88E3-622562831268}"/>
  </w:font>
  <w:font w:name="方正小标宋_GBK">
    <w:panose1 w:val="02000000000000000000"/>
    <w:charset w:val="86"/>
    <w:family w:val="script"/>
    <w:pitch w:val="default"/>
    <w:sig w:usb0="A00002BF" w:usb1="38CF7CFA" w:usb2="00082016" w:usb3="00000000" w:csb0="00040001" w:csb1="00000000"/>
    <w:embedRegular r:id="rId2" w:fontKey="{758CB677-15D8-4E9D-980D-87F9DF1DCF97}"/>
  </w:font>
  <w:font w:name="方正仿宋_GBK">
    <w:panose1 w:val="02000000000000000000"/>
    <w:charset w:val="86"/>
    <w:family w:val="script"/>
    <w:pitch w:val="default"/>
    <w:sig w:usb0="A00002BF" w:usb1="38CF7CFA" w:usb2="00082016" w:usb3="00000000" w:csb0="00040001" w:csb1="00000000"/>
    <w:embedRegular r:id="rId3" w:fontKey="{5A5AFD3A-5F8A-4C18-8B18-276316EA7AD6}"/>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272DB">
    <w:pPr>
      <w:pStyle w:val="3"/>
      <w:rPr>
        <w:rFonts w:hint="eastAsia" w:ascii="Times New Roman" w:hAnsi="Times New Roman" w:cs="Times New Roman"/>
        <w:sz w:val="32"/>
        <w:szCs w:val="32"/>
        <w:lang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B55903">
                          <w:pPr>
                            <w:pStyle w:val="3"/>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FB55903">
                    <w:pPr>
                      <w:pStyle w:val="3"/>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HAnsi" w:hAnsiTheme="minorHAnsi" w:eastAsiaTheme="minorEastAsia" w:cstheme="minorBidi"/>
        <w:kern w:val="2"/>
        <w:sz w:val="21"/>
        <w:szCs w:val="24"/>
        <w:lang w:val="en-US" w:eastAsia="zh-CN" w:bidi="ar-SA"/>
      </w:rPr>
      <w:id w:val="147458382"/>
      <w:docPartObj>
        <w:docPartGallery w:val="autotext"/>
      </w:docPartObj>
    </w:sdtPr>
    <w:sdtEndPr>
      <w:rPr>
        <w:rFonts w:ascii="宋体" w:hAnsi="宋体" w:eastAsia="宋体" w:cstheme="minorBidi"/>
        <w:kern w:val="2"/>
        <w:sz w:val="28"/>
        <w:szCs w:val="28"/>
        <w:lang w:val="en-US" w:eastAsia="zh-CN" w:bidi="ar-SA"/>
      </w:rPr>
    </w:sdtEndPr>
    <w:sdtContent>
      <w:p w14:paraId="490CDFD7">
        <w:pPr>
          <w:pStyle w:val="3"/>
          <w:ind w:right="360" w:firstLine="420" w:firstLineChars="200"/>
          <w:rPr>
            <w:rFonts w:ascii="宋体" w:hAnsi="宋体" w:eastAsia="宋体"/>
            <w:sz w:val="28"/>
            <w:szCs w:val="28"/>
          </w:rPr>
        </w:pPr>
        <w:r>
          <w:rPr>
            <w:rFonts w:hint="eastAsia"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ascii="宋体" w:hAnsi="宋体" w:eastAsia="宋体"/>
            <w:sz w:val="28"/>
            <w:szCs w:val="28"/>
          </w:rPr>
          <w:t xml:space="preserve"> </w:t>
        </w:r>
        <w:r>
          <w:rPr>
            <w:rFonts w:hint="eastAsia" w:ascii="宋体" w:hAnsi="宋体" w:eastAsia="宋体"/>
            <w:sz w:val="28"/>
            <w:szCs w:val="28"/>
          </w:rPr>
          <w:t>—</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42108B3"/>
    <w:rsid w:val="07F2113F"/>
    <w:rsid w:val="14653790"/>
    <w:rsid w:val="165E05FB"/>
    <w:rsid w:val="1666025D"/>
    <w:rsid w:val="17FA6613"/>
    <w:rsid w:val="18655FC3"/>
    <w:rsid w:val="1CFE1B1D"/>
    <w:rsid w:val="255614AE"/>
    <w:rsid w:val="2A2A2602"/>
    <w:rsid w:val="2DE077AA"/>
    <w:rsid w:val="3515518B"/>
    <w:rsid w:val="3A803B61"/>
    <w:rsid w:val="3E4C7FE1"/>
    <w:rsid w:val="406C50F2"/>
    <w:rsid w:val="424D6B7E"/>
    <w:rsid w:val="58631B0A"/>
    <w:rsid w:val="594903C6"/>
    <w:rsid w:val="5985500A"/>
    <w:rsid w:val="5C817409"/>
    <w:rsid w:val="5CD645D9"/>
    <w:rsid w:val="5CE13766"/>
    <w:rsid w:val="657778C0"/>
    <w:rsid w:val="681C3140"/>
    <w:rsid w:val="69782D5D"/>
    <w:rsid w:val="6CCB3AEB"/>
    <w:rsid w:val="74454183"/>
    <w:rsid w:val="76D52218"/>
    <w:rsid w:val="776D1B6E"/>
    <w:rsid w:val="79690914"/>
    <w:rsid w:val="7AE27130"/>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重庆化工职业学院</Company>
  <Pages>8</Pages>
  <Words>1566</Words>
  <Characters>1569</Characters>
  <Lines>12</Lines>
  <Paragraphs>3</Paragraphs>
  <TotalTime>3</TotalTime>
  <ScaleCrop>false</ScaleCrop>
  <LinksUpToDate>false</LinksUpToDate>
  <CharactersWithSpaces>1571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烟花季，伤一季</cp:lastModifiedBy>
  <dcterms:modified xsi:type="dcterms:W3CDTF">2026-03-29T13:40:17Z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CACE74BD8110409CA95C08CF2589FDE3_13</vt:lpwstr>
  </property>
  <property fmtid="{D5CDD505-2E9C-101B-9397-08002B2CF9AE}" pid="4" name="KSOTemplateDocerSaveRecord">
    <vt:lpwstr>eyJoZGlkIjoiN2Q2NjgwMmVmMDU5MTJmZTY5MDVhZThmOTAwMjg2NjAiLCJ1c2VySWQiOiIyMDY4Mzk0NjIifQ==</vt:lpwstr>
  </property>
</Properties>
</file>